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F8EF" w14:textId="35415E14" w:rsidR="002A3BA6" w:rsidRPr="001E6AF5" w:rsidRDefault="002A3BA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MINUTA DE CONSTITUCION SIMULTÁNEA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AF5">
        <w:rPr>
          <w:rFonts w:ascii="Arial" w:hAnsi="Arial" w:cs="Arial"/>
          <w:b/>
          <w:bCs/>
          <w:sz w:val="24"/>
          <w:szCs w:val="24"/>
        </w:rPr>
        <w:t>DE COMPAÑÍA ANÓNIMA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AF5">
        <w:rPr>
          <w:rFonts w:ascii="Arial" w:hAnsi="Arial" w:cs="Arial"/>
          <w:b/>
          <w:bCs/>
          <w:sz w:val="24"/>
          <w:szCs w:val="24"/>
        </w:rPr>
        <w:t>CUYO ESTATUTO PREVEA LA EXISTENCIA DE DIRECTORIO</w:t>
      </w:r>
    </w:p>
    <w:p w14:paraId="0243B435" w14:textId="77777777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SEÑOR NOTARIO:</w:t>
      </w:r>
    </w:p>
    <w:p w14:paraId="3F2A78DD" w14:textId="252D8749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En el protocolo de escrituras públicas a su cargo, sírvase insertar una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constitución simultánea de compañía anónima, contenida en las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siguientes cláusulas:</w:t>
      </w:r>
    </w:p>
    <w:p w14:paraId="74002F84" w14:textId="32AAC7A2" w:rsidR="00A8783E" w:rsidRPr="001E6AF5" w:rsidRDefault="00DD2CEA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PRIMERA. -</w:t>
      </w:r>
      <w:r w:rsidR="002A3BA6"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AF5">
        <w:rPr>
          <w:rFonts w:ascii="Arial" w:hAnsi="Arial" w:cs="Arial"/>
          <w:b/>
          <w:bCs/>
          <w:sz w:val="24"/>
          <w:szCs w:val="24"/>
        </w:rPr>
        <w:t>COMPARECIENTES</w:t>
      </w:r>
      <w:r w:rsidRPr="001E6AF5">
        <w:rPr>
          <w:rFonts w:ascii="Arial" w:hAnsi="Arial" w:cs="Arial"/>
          <w:sz w:val="24"/>
          <w:szCs w:val="24"/>
        </w:rPr>
        <w:t>. -</w:t>
      </w:r>
      <w:r w:rsidR="002A3BA6" w:rsidRPr="001E6AF5">
        <w:rPr>
          <w:rFonts w:ascii="Arial" w:hAnsi="Arial" w:cs="Arial"/>
          <w:sz w:val="24"/>
          <w:szCs w:val="24"/>
        </w:rPr>
        <w:t xml:space="preserve"> Intervienen en el otorgamiento de esta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escritura:</w:t>
      </w:r>
      <w:r w:rsidR="002A3BA6" w:rsidRPr="001E6AF5">
        <w:rPr>
          <w:rFonts w:ascii="Arial" w:hAnsi="Arial" w:cs="Arial"/>
          <w:sz w:val="24"/>
          <w:szCs w:val="24"/>
        </w:rPr>
        <w:softHyphen/>
        <w:t>. (aquí se hará constar los nombres, nacionalidades y domicilios de las personas naturales o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jurídicas que, en el número mínimo de 2, vayan a ser accionistas de la compañía. Si una o más de ellas son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personas naturales se hará constar además el estado civil de cada una. La comparecencia puede ser por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derecho propio o por intermedio de representante legal o de mandatario).</w:t>
      </w:r>
    </w:p>
    <w:p w14:paraId="2D74AA9E" w14:textId="42592940" w:rsidR="002A3BA6" w:rsidRPr="001E6AF5" w:rsidRDefault="00DD2CEA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SEGUNDA. -</w:t>
      </w:r>
      <w:r w:rsidR="002A3BA6" w:rsidRPr="001E6AF5">
        <w:rPr>
          <w:rFonts w:ascii="Arial" w:hAnsi="Arial" w:cs="Arial"/>
          <w:b/>
          <w:bCs/>
          <w:sz w:val="24"/>
          <w:szCs w:val="24"/>
        </w:rPr>
        <w:t xml:space="preserve"> DECLARACION DE </w:t>
      </w:r>
      <w:r w:rsidRPr="001E6AF5">
        <w:rPr>
          <w:rFonts w:ascii="Arial" w:hAnsi="Arial" w:cs="Arial"/>
          <w:b/>
          <w:bCs/>
          <w:sz w:val="24"/>
          <w:szCs w:val="24"/>
        </w:rPr>
        <w:t>VOLUNTAD.</w:t>
      </w:r>
      <w:r w:rsidRPr="001E6AF5">
        <w:rPr>
          <w:rFonts w:ascii="Arial" w:hAnsi="Arial" w:cs="Arial"/>
          <w:sz w:val="24"/>
          <w:szCs w:val="24"/>
        </w:rPr>
        <w:t xml:space="preserve"> -</w:t>
      </w:r>
      <w:r w:rsidR="002A3BA6" w:rsidRPr="001E6AF5">
        <w:rPr>
          <w:rFonts w:ascii="Arial" w:hAnsi="Arial" w:cs="Arial"/>
          <w:sz w:val="24"/>
          <w:szCs w:val="24"/>
        </w:rPr>
        <w:t xml:space="preserve"> Los comparecientes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declaran que constituyen, por la vía simultánea, como en efecto lo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hacen, una compañía anónima, que se someterá a las disposiciones de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la Ley de Compañías, del Código de Comercio, a los convenios de las</w:t>
      </w:r>
      <w:r w:rsidR="002A3BA6" w:rsidRPr="001E6AF5">
        <w:rPr>
          <w:rFonts w:ascii="Arial" w:hAnsi="Arial" w:cs="Arial"/>
          <w:sz w:val="24"/>
          <w:szCs w:val="24"/>
        </w:rPr>
        <w:t xml:space="preserve"> </w:t>
      </w:r>
      <w:r w:rsidR="002A3BA6" w:rsidRPr="001E6AF5">
        <w:rPr>
          <w:rFonts w:ascii="Arial" w:hAnsi="Arial" w:cs="Arial"/>
          <w:sz w:val="24"/>
          <w:szCs w:val="24"/>
        </w:rPr>
        <w:t>partes y a las normas del Código Civil.</w:t>
      </w:r>
    </w:p>
    <w:p w14:paraId="6FC2366E" w14:textId="5FAAA273" w:rsidR="002A3BA6" w:rsidRPr="001E6AF5" w:rsidRDefault="00DD2CEA" w:rsidP="001E6AF5">
      <w:pPr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TERCERA. -</w:t>
      </w:r>
      <w:r w:rsidR="002A3BA6" w:rsidRPr="001E6AF5">
        <w:rPr>
          <w:rFonts w:ascii="Arial" w:hAnsi="Arial" w:cs="Arial"/>
          <w:b/>
          <w:bCs/>
          <w:sz w:val="24"/>
          <w:szCs w:val="24"/>
        </w:rPr>
        <w:t xml:space="preserve"> ESTATUTO DE LA COMPAÑÍA.</w:t>
      </w:r>
    </w:p>
    <w:p w14:paraId="08AEFB4C" w14:textId="77777777" w:rsidR="002A3BA6" w:rsidRPr="001E6AF5" w:rsidRDefault="002A3BA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Título I</w:t>
      </w:r>
    </w:p>
    <w:p w14:paraId="4DD3F9E9" w14:textId="450C126A" w:rsidR="002A3BA6" w:rsidRPr="001E6AF5" w:rsidRDefault="002A3BA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Del nombre, domicilio, objeto y plazo</w:t>
      </w:r>
    </w:p>
    <w:p w14:paraId="4A9EE87B" w14:textId="52A60329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</w:t>
      </w:r>
      <w:r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Nombre.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El nombre de la compañía que por esta escritura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se constituye es</w:t>
      </w:r>
      <w:r w:rsidRPr="001E6AF5">
        <w:rPr>
          <w:rFonts w:ascii="Arial" w:hAnsi="Arial" w:cs="Arial"/>
          <w:sz w:val="24"/>
          <w:szCs w:val="24"/>
        </w:rPr>
        <w:t xml:space="preserve"> ____________</w:t>
      </w:r>
      <w:proofErr w:type="gramStart"/>
      <w:r w:rsidR="00DD2CEA" w:rsidRPr="001E6AF5">
        <w:rPr>
          <w:rFonts w:ascii="Arial" w:hAnsi="Arial" w:cs="Arial"/>
          <w:sz w:val="24"/>
          <w:szCs w:val="24"/>
        </w:rPr>
        <w:t>_ .</w:t>
      </w:r>
      <w:proofErr w:type="gramEnd"/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187217F6" w14:textId="02B7A2D0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2</w:t>
      </w:r>
      <w:r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AF5">
        <w:rPr>
          <w:rFonts w:ascii="Arial" w:hAnsi="Arial" w:cs="Arial"/>
          <w:b/>
          <w:bCs/>
          <w:sz w:val="24"/>
          <w:szCs w:val="24"/>
        </w:rPr>
        <w:t>Domicilio. -</w:t>
      </w:r>
      <w:r w:rsidRPr="001E6AF5">
        <w:rPr>
          <w:rFonts w:ascii="Arial" w:hAnsi="Arial" w:cs="Arial"/>
          <w:sz w:val="24"/>
          <w:szCs w:val="24"/>
        </w:rPr>
        <w:t xml:space="preserve"> El domicilio principal de la compañía es</w:t>
      </w:r>
      <w:r w:rsidRPr="001E6AF5">
        <w:rPr>
          <w:rFonts w:ascii="Arial" w:hAnsi="Arial" w:cs="Arial"/>
          <w:sz w:val="24"/>
          <w:szCs w:val="24"/>
        </w:rPr>
        <w:t xml:space="preserve"> en las calles ____________ N° ___ y </w:t>
      </w:r>
      <w:r w:rsidRPr="001E6AF5">
        <w:rPr>
          <w:rFonts w:ascii="Arial" w:hAnsi="Arial" w:cs="Arial"/>
          <w:sz w:val="24"/>
          <w:szCs w:val="24"/>
        </w:rPr>
        <w:softHyphen/>
      </w:r>
      <w:r w:rsidRPr="001E6AF5">
        <w:rPr>
          <w:rFonts w:ascii="Arial" w:hAnsi="Arial" w:cs="Arial"/>
          <w:sz w:val="24"/>
          <w:szCs w:val="24"/>
        </w:rPr>
        <w:t xml:space="preserve"> ________________ en la ciudad de __________ parroquia</w:t>
      </w:r>
      <w:r w:rsidR="005D3416" w:rsidRPr="001E6AF5">
        <w:rPr>
          <w:rFonts w:ascii="Arial" w:hAnsi="Arial" w:cs="Arial"/>
          <w:sz w:val="24"/>
          <w:szCs w:val="24"/>
        </w:rPr>
        <w:t xml:space="preserve"> ______________</w:t>
      </w:r>
      <w:proofErr w:type="gramStart"/>
      <w:r w:rsidR="005D3416" w:rsidRPr="001E6AF5">
        <w:rPr>
          <w:rFonts w:ascii="Arial" w:hAnsi="Arial" w:cs="Arial"/>
          <w:sz w:val="24"/>
          <w:szCs w:val="24"/>
        </w:rPr>
        <w:t xml:space="preserve">_ </w:t>
      </w:r>
      <w:r w:rsidRPr="001E6AF5">
        <w:rPr>
          <w:rFonts w:ascii="Arial" w:hAnsi="Arial" w:cs="Arial"/>
          <w:sz w:val="24"/>
          <w:szCs w:val="24"/>
        </w:rPr>
        <w:t>.</w:t>
      </w:r>
      <w:proofErr w:type="gramEnd"/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507FBD31" w14:textId="64BBECA3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Podrá establecer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agencias, sucursales o establecimientos, en uno o más lugares dentro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del territorio nacional o en el exterior, previa decisión del directorio y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conformidad con las disposiciones legales correspondientes.</w:t>
      </w:r>
    </w:p>
    <w:p w14:paraId="7FD523D1" w14:textId="546B0E0D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3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Objeto. -</w:t>
      </w:r>
      <w:r w:rsidRPr="001E6AF5">
        <w:rPr>
          <w:rFonts w:ascii="Arial" w:hAnsi="Arial" w:cs="Arial"/>
          <w:sz w:val="24"/>
          <w:szCs w:val="24"/>
        </w:rPr>
        <w:t xml:space="preserve"> El objeto de la compañía consiste en:</w:t>
      </w:r>
      <w:r w:rsidRPr="001E6AF5">
        <w:rPr>
          <w:rFonts w:ascii="Arial" w:hAnsi="Arial" w:cs="Arial"/>
          <w:sz w:val="24"/>
          <w:szCs w:val="24"/>
        </w:rPr>
        <w:softHyphen/>
      </w:r>
      <w:r w:rsidR="005D3416" w:rsidRPr="001E6AF5">
        <w:rPr>
          <w:rFonts w:ascii="Arial" w:hAnsi="Arial" w:cs="Arial"/>
          <w:sz w:val="24"/>
          <w:szCs w:val="24"/>
        </w:rPr>
        <w:t xml:space="preserve"> ______________________________________ </w:t>
      </w:r>
      <w:r w:rsidRPr="001E6AF5">
        <w:rPr>
          <w:rFonts w:ascii="Arial" w:hAnsi="Arial" w:cs="Arial"/>
          <w:sz w:val="24"/>
          <w:szCs w:val="24"/>
        </w:rPr>
        <w:t>(</w:t>
      </w:r>
      <w:r w:rsidR="005D3416" w:rsidRPr="001E6AF5">
        <w:rPr>
          <w:rFonts w:ascii="Arial" w:hAnsi="Arial" w:cs="Arial"/>
          <w:sz w:val="24"/>
          <w:szCs w:val="24"/>
        </w:rPr>
        <w:t>Determinar</w:t>
      </w:r>
      <w:r w:rsidRPr="001E6AF5">
        <w:rPr>
          <w:rFonts w:ascii="Arial" w:hAnsi="Arial" w:cs="Arial"/>
          <w:sz w:val="24"/>
          <w:szCs w:val="24"/>
        </w:rPr>
        <w:t xml:space="preserve"> las actividades que conformen el objeto se tendrá en cuenta lo dispuesto en el numeral 3°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del artículo 150. Para la </w:t>
      </w:r>
      <w:r w:rsidR="005D3416" w:rsidRPr="001E6AF5">
        <w:rPr>
          <w:rFonts w:ascii="Arial" w:hAnsi="Arial" w:cs="Arial"/>
          <w:sz w:val="24"/>
          <w:szCs w:val="24"/>
        </w:rPr>
        <w:t>d</w:t>
      </w:r>
      <w:r w:rsidRPr="001E6AF5">
        <w:rPr>
          <w:rFonts w:ascii="Arial" w:hAnsi="Arial" w:cs="Arial"/>
          <w:sz w:val="24"/>
          <w:szCs w:val="24"/>
        </w:rPr>
        <w:t>eterminación de la afiliación de la compañía a la cámara de la producción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respectiva, o para la obtención de uno o más informes previos favorables por parte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organismos públicos,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ofrece una guía el folleto </w:t>
      </w:r>
      <w:r w:rsidRPr="001E6AF5">
        <w:rPr>
          <w:rFonts w:ascii="Arial" w:hAnsi="Arial" w:cs="Arial"/>
          <w:sz w:val="24"/>
          <w:szCs w:val="24"/>
        </w:rPr>
        <w:softHyphen/>
        <w:t xml:space="preserve">Instructivo </w:t>
      </w:r>
      <w:r w:rsidRPr="001E6AF5">
        <w:rPr>
          <w:rFonts w:ascii="Arial" w:hAnsi="Arial" w:cs="Arial"/>
          <w:sz w:val="24"/>
          <w:szCs w:val="24"/>
        </w:rPr>
        <w:lastRenderedPageBreak/>
        <w:t>para la constitución de las compañías mercantiles sometidas al control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 la Superintendencia de Compañías</w:t>
      </w:r>
      <w:r w:rsidRPr="001E6AF5">
        <w:rPr>
          <w:rFonts w:ascii="Arial" w:hAnsi="Arial" w:cs="Arial"/>
          <w:sz w:val="24"/>
          <w:szCs w:val="24"/>
        </w:rPr>
        <w:softHyphen/>
        <w:t>, que puede solicitar en esta institución).</w:t>
      </w:r>
    </w:p>
    <w:p w14:paraId="63F46F41" w14:textId="403A24A0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Para el cumplimiento de su objeto, la compañía podrá celebrar todos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los actos y contratos permitidos por la ley.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7B2B4273" w14:textId="5597A655" w:rsidR="002A3BA6" w:rsidRPr="001E6AF5" w:rsidRDefault="002A3BA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4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Plazo. -</w:t>
      </w:r>
      <w:r w:rsidRPr="001E6AF5">
        <w:rPr>
          <w:rFonts w:ascii="Arial" w:hAnsi="Arial" w:cs="Arial"/>
          <w:sz w:val="24"/>
          <w:szCs w:val="24"/>
        </w:rPr>
        <w:t xml:space="preserve"> El plazo de duración de la compañía es de</w:t>
      </w:r>
      <w:r w:rsidRPr="001E6AF5">
        <w:rPr>
          <w:rFonts w:ascii="Arial" w:hAnsi="Arial" w:cs="Arial"/>
          <w:sz w:val="24"/>
          <w:szCs w:val="24"/>
        </w:rPr>
        <w:softHyphen/>
      </w:r>
      <w:r w:rsidR="00DD2CEA" w:rsidRPr="001E6AF5">
        <w:rPr>
          <w:rFonts w:ascii="Arial" w:hAnsi="Arial" w:cs="Arial"/>
          <w:sz w:val="24"/>
          <w:szCs w:val="24"/>
        </w:rPr>
        <w:t xml:space="preserve"> ___________ </w:t>
      </w:r>
      <w:r w:rsidRPr="001E6AF5">
        <w:rPr>
          <w:rFonts w:ascii="Arial" w:hAnsi="Arial" w:cs="Arial"/>
          <w:sz w:val="24"/>
          <w:szCs w:val="24"/>
        </w:rPr>
        <w:t>(se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expresará en años), contados desde la fecha de inscripción de esta escritura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La compañía podrá disolverse antes del vencimiento del plazo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indicado, o podrá prorrogarlo, sujetándose, en cualquier caso, a las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disposiciones legales aplicables.</w:t>
      </w:r>
    </w:p>
    <w:p w14:paraId="4E3EE7B1" w14:textId="77777777" w:rsidR="005D3416" w:rsidRPr="001E6AF5" w:rsidRDefault="005D341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Título II</w:t>
      </w:r>
    </w:p>
    <w:p w14:paraId="5E4B5075" w14:textId="77777777" w:rsidR="005D3416" w:rsidRPr="001E6AF5" w:rsidRDefault="005D341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Del capital</w:t>
      </w:r>
    </w:p>
    <w:p w14:paraId="001321B7" w14:textId="40902D76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5°.- Capital y de las acciones.-</w:t>
      </w:r>
      <w:r w:rsidRPr="001E6AF5">
        <w:rPr>
          <w:rFonts w:ascii="Arial" w:hAnsi="Arial" w:cs="Arial"/>
          <w:sz w:val="24"/>
          <w:szCs w:val="24"/>
        </w:rPr>
        <w:t xml:space="preserve"> El capital social es de</w:t>
      </w:r>
      <w:r w:rsidRPr="001E6AF5">
        <w:rPr>
          <w:rFonts w:ascii="Arial" w:hAnsi="Arial" w:cs="Arial"/>
          <w:sz w:val="24"/>
          <w:szCs w:val="24"/>
        </w:rPr>
        <w:t xml:space="preserve"> ___________________ DÓLARES DE LOS ESTADOS UNIDOS DE NORTEAMÉRICA</w:t>
      </w:r>
      <w:r w:rsidRPr="001E6AF5">
        <w:rPr>
          <w:rFonts w:ascii="Arial" w:hAnsi="Arial" w:cs="Arial"/>
          <w:sz w:val="24"/>
          <w:szCs w:val="24"/>
        </w:rPr>
        <w:t xml:space="preserve"> (</w:t>
      </w:r>
      <w:r w:rsidRPr="001E6AF5">
        <w:rPr>
          <w:rFonts w:ascii="Arial" w:hAnsi="Arial" w:cs="Arial"/>
          <w:sz w:val="24"/>
          <w:szCs w:val="24"/>
        </w:rPr>
        <w:t>S</w:t>
      </w:r>
      <w:r w:rsidRPr="001E6AF5">
        <w:rPr>
          <w:rFonts w:ascii="Arial" w:hAnsi="Arial" w:cs="Arial"/>
          <w:sz w:val="24"/>
          <w:szCs w:val="24"/>
        </w:rPr>
        <w:t>uma en que se lo fije, suma que no puede ser menor de 800 dólares de los Estados Unidos de América.),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dividido en </w:t>
      </w:r>
      <w:r w:rsidRPr="001E6AF5">
        <w:rPr>
          <w:rFonts w:ascii="Arial" w:hAnsi="Arial" w:cs="Arial"/>
          <w:sz w:val="24"/>
          <w:szCs w:val="24"/>
        </w:rPr>
        <w:t xml:space="preserve"> ____________</w:t>
      </w:r>
      <w:r w:rsidRPr="001E6AF5">
        <w:rPr>
          <w:rFonts w:ascii="Arial" w:hAnsi="Arial" w:cs="Arial"/>
          <w:sz w:val="24"/>
          <w:szCs w:val="24"/>
        </w:rPr>
        <w:t xml:space="preserve"> acciones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ordinarias y nominativas, de </w:t>
      </w:r>
      <w:r w:rsidRPr="001E6AF5">
        <w:rPr>
          <w:rFonts w:ascii="Arial" w:hAnsi="Arial" w:cs="Arial"/>
          <w:sz w:val="24"/>
          <w:szCs w:val="24"/>
        </w:rPr>
        <w:softHyphen/>
        <w:t>..(aquí el valor de cada acción, que será de un dólar 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múltiplos de un dólar) de valor nominal cada una, numeradas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consecutivamente del </w:t>
      </w:r>
      <w:r w:rsidRPr="001E6AF5">
        <w:rPr>
          <w:rFonts w:ascii="Arial" w:hAnsi="Arial" w:cs="Arial"/>
          <w:sz w:val="24"/>
          <w:szCs w:val="24"/>
        </w:rPr>
        <w:softHyphen/>
      </w:r>
      <w:r w:rsidRPr="001E6AF5">
        <w:rPr>
          <w:rFonts w:ascii="Arial" w:hAnsi="Arial" w:cs="Arial"/>
          <w:sz w:val="24"/>
          <w:szCs w:val="24"/>
        </w:rPr>
        <w:t xml:space="preserve">___ </w:t>
      </w:r>
      <w:r w:rsidRPr="001E6AF5">
        <w:rPr>
          <w:rFonts w:ascii="Arial" w:hAnsi="Arial" w:cs="Arial"/>
          <w:sz w:val="24"/>
          <w:szCs w:val="24"/>
        </w:rPr>
        <w:t>al</w:t>
      </w:r>
      <w:r w:rsidRPr="001E6AF5">
        <w:rPr>
          <w:rFonts w:ascii="Arial" w:hAnsi="Arial" w:cs="Arial"/>
          <w:sz w:val="24"/>
          <w:szCs w:val="24"/>
        </w:rPr>
        <w:t xml:space="preserve"> _____  </w:t>
      </w:r>
      <w:r w:rsidRPr="001E6AF5">
        <w:rPr>
          <w:rFonts w:ascii="Arial" w:hAnsi="Arial" w:cs="Arial"/>
          <w:sz w:val="24"/>
          <w:szCs w:val="24"/>
        </w:rPr>
        <w:t>(Se podría redactar este artículo dividiendo las acciones por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series, de modo que en cada una de ellas, sin desatender la norma sobre el valor nominal, tengan las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acciones correspondientes a cada serie un determinado importe).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79011B28" w14:textId="77777777" w:rsidR="005D3416" w:rsidRPr="001E6AF5" w:rsidRDefault="005D341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Título III</w:t>
      </w:r>
    </w:p>
    <w:p w14:paraId="3A7BB7C8" w14:textId="77777777" w:rsidR="005D3416" w:rsidRPr="001E6AF5" w:rsidRDefault="005D341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Del gobierno y de la administración</w:t>
      </w:r>
    </w:p>
    <w:p w14:paraId="118B70BF" w14:textId="140DA1C4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6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Norma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general. -</w:t>
      </w:r>
      <w:r w:rsidRPr="001E6AF5">
        <w:rPr>
          <w:rFonts w:ascii="Arial" w:hAnsi="Arial" w:cs="Arial"/>
          <w:sz w:val="24"/>
          <w:szCs w:val="24"/>
        </w:rPr>
        <w:t xml:space="preserve"> El gobierno de la compañía corresponde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 la junta general de accionistas, y su administración al directorio, al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presidente y al gerente.</w:t>
      </w:r>
    </w:p>
    <w:p w14:paraId="37018CFB" w14:textId="6446DA7D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7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Convocatorias. -</w:t>
      </w:r>
      <w:r w:rsidRPr="001E6AF5">
        <w:rPr>
          <w:rFonts w:ascii="Arial" w:hAnsi="Arial" w:cs="Arial"/>
          <w:sz w:val="24"/>
          <w:szCs w:val="24"/>
        </w:rPr>
        <w:t xml:space="preserve"> La convocatoria a junta general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efectuará el gerente de la compañía, mediante aviso que se publicará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en uno de los diarios de mayor circulación en el domicilio principal de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compañía, con ocho días de anticipación, por lo menos, respecto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aquél en el que se celebre la reunión. En tales ocho días no se contarán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el de la convocatoria ni el de realización de la junta.</w:t>
      </w:r>
    </w:p>
    <w:p w14:paraId="34ABEBFC" w14:textId="53E86BFC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8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Clases de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juntas</w:t>
      </w:r>
      <w:r w:rsidR="00DD2CEA" w:rsidRPr="001E6AF5">
        <w:rPr>
          <w:rFonts w:ascii="Arial" w:hAnsi="Arial" w:cs="Arial"/>
          <w:sz w:val="24"/>
          <w:szCs w:val="24"/>
        </w:rPr>
        <w:t>. -</w:t>
      </w:r>
      <w:r w:rsidRPr="001E6AF5">
        <w:rPr>
          <w:rFonts w:ascii="Arial" w:hAnsi="Arial" w:cs="Arial"/>
          <w:sz w:val="24"/>
          <w:szCs w:val="24"/>
        </w:rPr>
        <w:t xml:space="preserve"> Las juntas generales serán ordinarias y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extraordinarias. Las primeras se reunirán por lo menos una vez al año,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dentro de los tres meses posteriores a la finalización del ejercicio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económico de la compañía, para considerar los asuntos especificados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en los numerales 2°, 3° y </w:t>
      </w:r>
      <w:r w:rsidRPr="001E6AF5">
        <w:rPr>
          <w:rFonts w:ascii="Arial" w:hAnsi="Arial" w:cs="Arial"/>
          <w:sz w:val="24"/>
          <w:szCs w:val="24"/>
        </w:rPr>
        <w:lastRenderedPageBreak/>
        <w:t>4° del artículo 231 de la Ley de Compañías y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cualquier otro asunto puntualizado en el orden del día, de acuerdo con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la convocatoria. Las segundas se reunirán cuando fueren convocadas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para tratar los asuntos para los cuales, en cada caso, se hubieren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promovido.</w:t>
      </w:r>
    </w:p>
    <w:p w14:paraId="3BAAA05D" w14:textId="53536CCA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9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Quórum general de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instalación. -</w:t>
      </w:r>
      <w:r w:rsidRPr="001E6AF5">
        <w:rPr>
          <w:rFonts w:ascii="Arial" w:hAnsi="Arial" w:cs="Arial"/>
          <w:sz w:val="24"/>
          <w:szCs w:val="24"/>
        </w:rPr>
        <w:t xml:space="preserve"> Salvo que la ley disponga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otra cosa, la junta general se instalará, en primera convocatoria, con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concurrencia de por lo menos el 50% del capital pagado. Con igual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salvedad, en segunda convocatoria, se instalará con el número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socios presentes, siempre que se cumplan los demás requisitos de ley. En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esta última convocatoria se expresará que la junta se instalará con los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accionistas presentes.</w:t>
      </w:r>
    </w:p>
    <w:p w14:paraId="551EF343" w14:textId="795CDD66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10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Quórum especial de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instalación. -</w:t>
      </w:r>
      <w:r w:rsidRPr="001E6AF5">
        <w:rPr>
          <w:rFonts w:ascii="Arial" w:hAnsi="Arial" w:cs="Arial"/>
          <w:sz w:val="24"/>
          <w:szCs w:val="24"/>
        </w:rPr>
        <w:t xml:space="preserve"> Siempre que la ley no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establezca un quórum mayor, la junta general se instalará, en primera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convocatoria, para deliberar sobre el aumento o disminución del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capital, la transformación, la fusión, la escisión, la disolución anticipada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 la compañía, la reactivación de la compañía en proceso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liquidación, la convalidación y, en general, cualquier modificación del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estatuto con la concurrencia del 50% del capital pagado. En estos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casos, salvo que la ley señale un quórum mayor, para que la junta se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instale previa segunda convocatoria, bastará la concurrencia de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tercera parte del capital pagado. Cuando preceda una tercera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convocatoria, siempre que la ley no prevea otro quórum, la junta se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instalará con el número de accionistas presentes. De ello se dejará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constancia en esta convocatoria.</w:t>
      </w:r>
    </w:p>
    <w:p w14:paraId="4F2D86FD" w14:textId="10401F06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11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Quórum de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decisión. -</w:t>
      </w:r>
      <w:r w:rsidRPr="001E6AF5">
        <w:rPr>
          <w:rFonts w:ascii="Arial" w:hAnsi="Arial" w:cs="Arial"/>
          <w:sz w:val="24"/>
          <w:szCs w:val="24"/>
        </w:rPr>
        <w:t xml:space="preserve"> Salvo disposición en contrario de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ley, las decisiones se tomarán con la mayoría del capital pagado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concurrente a la reunión.</w:t>
      </w:r>
    </w:p>
    <w:p w14:paraId="20A07F8A" w14:textId="7846CA56" w:rsidR="005D341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12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Facultades de la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junta. -</w:t>
      </w:r>
      <w:r w:rsidRPr="001E6AF5">
        <w:rPr>
          <w:rFonts w:ascii="Arial" w:hAnsi="Arial" w:cs="Arial"/>
          <w:sz w:val="24"/>
          <w:szCs w:val="24"/>
        </w:rPr>
        <w:t xml:space="preserve"> Corresponde a la junta general:</w:t>
      </w:r>
    </w:p>
    <w:p w14:paraId="055F3E15" w14:textId="77777777" w:rsidR="005D3416" w:rsidRPr="001E6AF5" w:rsidRDefault="005D3416" w:rsidP="001E6AF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Nombrar al presidente, al gerente y a los miembros, principales y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suplentes, del directorio;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2CB03858" w14:textId="79FE6D9E" w:rsidR="005D3416" w:rsidRPr="001E6AF5" w:rsidRDefault="005D3416" w:rsidP="001E6AF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Ejercer todas las facultades que la ley confiere al órgano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gobierno de la compañía anónima.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0CDEA90A" w14:textId="134CAC9A" w:rsidR="002A3BA6" w:rsidRPr="001E6AF5" w:rsidRDefault="005D341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13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Junta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universal. -</w:t>
      </w:r>
      <w:r w:rsidRPr="001E6AF5">
        <w:rPr>
          <w:rFonts w:ascii="Arial" w:hAnsi="Arial" w:cs="Arial"/>
          <w:sz w:val="24"/>
          <w:szCs w:val="24"/>
        </w:rPr>
        <w:t xml:space="preserve"> No </w:t>
      </w:r>
      <w:r w:rsidR="00DD2CEA" w:rsidRPr="001E6AF5">
        <w:rPr>
          <w:rFonts w:ascii="Arial" w:hAnsi="Arial" w:cs="Arial"/>
          <w:sz w:val="24"/>
          <w:szCs w:val="24"/>
        </w:rPr>
        <w:t>obstante,</w:t>
      </w:r>
      <w:r w:rsidRPr="001E6AF5">
        <w:rPr>
          <w:rFonts w:ascii="Arial" w:hAnsi="Arial" w:cs="Arial"/>
          <w:sz w:val="24"/>
          <w:szCs w:val="24"/>
        </w:rPr>
        <w:t xml:space="preserve"> lo dispuesto en los artículos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anteriores, la junta se entenderá convocada y quedará válidamente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constituida en cualquier tiempo y en cualquier lugar, dentro del territorio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nacional, para tratar cualquier asunto siempre que esté presente todo el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capital pagado y los asistentes, quienes deberán suscribir el acta bajo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sanción de nulidad de las resoluciones, acepten por unanimidad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celebración de la junta.</w:t>
      </w:r>
    </w:p>
    <w:p w14:paraId="3211A1C9" w14:textId="0F1CFE81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14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Composición del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directorio. -</w:t>
      </w:r>
      <w:r w:rsidRPr="001E6AF5">
        <w:rPr>
          <w:rFonts w:ascii="Arial" w:hAnsi="Arial" w:cs="Arial"/>
          <w:sz w:val="24"/>
          <w:szCs w:val="24"/>
        </w:rPr>
        <w:t xml:space="preserve"> Este órgano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administración estará integrado por</w:t>
      </w:r>
      <w:r w:rsidRPr="001E6AF5">
        <w:rPr>
          <w:rFonts w:ascii="Arial" w:hAnsi="Arial" w:cs="Arial"/>
          <w:sz w:val="24"/>
          <w:szCs w:val="24"/>
        </w:rPr>
        <w:softHyphen/>
      </w:r>
      <w:r w:rsidRPr="001E6AF5">
        <w:rPr>
          <w:rFonts w:ascii="Arial" w:hAnsi="Arial" w:cs="Arial"/>
          <w:sz w:val="24"/>
          <w:szCs w:val="24"/>
        </w:rPr>
        <w:t xml:space="preserve"> ____________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="00DD2CEA" w:rsidRPr="001E6AF5">
        <w:rPr>
          <w:rFonts w:ascii="Arial" w:hAnsi="Arial" w:cs="Arial"/>
          <w:sz w:val="24"/>
          <w:szCs w:val="24"/>
        </w:rPr>
        <w:t>(número</w:t>
      </w:r>
      <w:r w:rsidRPr="001E6AF5">
        <w:rPr>
          <w:rFonts w:ascii="Arial" w:hAnsi="Arial" w:cs="Arial"/>
          <w:sz w:val="24"/>
          <w:szCs w:val="24"/>
        </w:rPr>
        <w:t xml:space="preserve"> de sus miembros) vocales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principales y por </w:t>
      </w:r>
      <w:r w:rsidRPr="001E6AF5">
        <w:rPr>
          <w:rFonts w:ascii="Arial" w:hAnsi="Arial" w:cs="Arial"/>
          <w:sz w:val="24"/>
          <w:szCs w:val="24"/>
        </w:rPr>
        <w:softHyphen/>
      </w:r>
      <w:r w:rsidRPr="001E6AF5">
        <w:rPr>
          <w:rFonts w:ascii="Arial" w:hAnsi="Arial" w:cs="Arial"/>
          <w:sz w:val="24"/>
          <w:szCs w:val="24"/>
        </w:rPr>
        <w:t xml:space="preserve">__________ </w:t>
      </w:r>
      <w:r w:rsidRPr="001E6AF5">
        <w:rPr>
          <w:rFonts w:ascii="Arial" w:hAnsi="Arial" w:cs="Arial"/>
          <w:sz w:val="24"/>
          <w:szCs w:val="24"/>
        </w:rPr>
        <w:t>(</w:t>
      </w:r>
      <w:r w:rsidRPr="001E6AF5">
        <w:rPr>
          <w:rFonts w:ascii="Arial" w:hAnsi="Arial" w:cs="Arial"/>
          <w:sz w:val="24"/>
          <w:szCs w:val="24"/>
        </w:rPr>
        <w:t>n</w:t>
      </w:r>
      <w:r w:rsidRPr="001E6AF5">
        <w:rPr>
          <w:rFonts w:ascii="Arial" w:hAnsi="Arial" w:cs="Arial"/>
          <w:sz w:val="24"/>
          <w:szCs w:val="24"/>
        </w:rPr>
        <w:t>úmero de miembros) vocales suplentes. Será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lastRenderedPageBreak/>
        <w:t>miembro principal del directorio el presidente de la compañía. Los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demás miembros serán designados por la junta general para períodos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</w:t>
      </w:r>
      <w:r w:rsidRPr="001E6AF5">
        <w:rPr>
          <w:rFonts w:ascii="Arial" w:hAnsi="Arial" w:cs="Arial"/>
          <w:sz w:val="24"/>
          <w:szCs w:val="24"/>
        </w:rPr>
        <w:softHyphen/>
      </w:r>
      <w:r w:rsidRPr="001E6AF5">
        <w:rPr>
          <w:rFonts w:ascii="Arial" w:hAnsi="Arial" w:cs="Arial"/>
          <w:sz w:val="24"/>
          <w:szCs w:val="24"/>
        </w:rPr>
        <w:t xml:space="preserve"> _________</w:t>
      </w:r>
      <w:r w:rsidRPr="001E6AF5">
        <w:rPr>
          <w:rFonts w:ascii="Arial" w:hAnsi="Arial" w:cs="Arial"/>
          <w:sz w:val="24"/>
          <w:szCs w:val="24"/>
        </w:rPr>
        <w:t xml:space="preserve"> (número de años).</w:t>
      </w:r>
    </w:p>
    <w:p w14:paraId="47B09351" w14:textId="77777777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Los miembros del directorio podrán ser reelegidos y permanecerán en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sus funciones hasta ser legalmente reemplazados.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76D02AD2" w14:textId="27A2CDAF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15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Convocatorias a reunión de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directorio</w:t>
      </w:r>
      <w:r w:rsidR="00DD2CEA" w:rsidRPr="001E6AF5">
        <w:rPr>
          <w:rFonts w:ascii="Arial" w:hAnsi="Arial" w:cs="Arial"/>
          <w:sz w:val="24"/>
          <w:szCs w:val="24"/>
        </w:rPr>
        <w:t>. -</w:t>
      </w:r>
      <w:r w:rsidRPr="001E6AF5">
        <w:rPr>
          <w:rFonts w:ascii="Arial" w:hAnsi="Arial" w:cs="Arial"/>
          <w:sz w:val="24"/>
          <w:szCs w:val="24"/>
        </w:rPr>
        <w:t xml:space="preserve"> Las convocatorias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 sesiones de directorio hará el gerente de la compañía, mediante nota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escrita dirigida a la dirección que hubiera registrado en la compañía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cada miembro de este órgano de administración. Tales convocatorias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se efectuarán con tres días de anticipación al de la reunión. En dichos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tres días no se contará el de realización de la convocatoria y el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celebración de la reunión.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7E742EF2" w14:textId="5E903715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16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Presidencia y secretaría del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directorio. -</w:t>
      </w:r>
      <w:r w:rsidRPr="001E6AF5">
        <w:rPr>
          <w:rFonts w:ascii="Arial" w:hAnsi="Arial" w:cs="Arial"/>
          <w:sz w:val="24"/>
          <w:szCs w:val="24"/>
        </w:rPr>
        <w:t xml:space="preserve"> Presidirá las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reuniones del directorio el presidente de la compañía. Actuará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secretario en ellas, con voz </w:t>
      </w:r>
      <w:r w:rsidRPr="001E6AF5">
        <w:rPr>
          <w:rFonts w:ascii="Arial" w:hAnsi="Arial" w:cs="Arial"/>
          <w:sz w:val="24"/>
          <w:szCs w:val="24"/>
        </w:rPr>
        <w:t>informativa,</w:t>
      </w:r>
      <w:r w:rsidRPr="001E6AF5">
        <w:rPr>
          <w:rFonts w:ascii="Arial" w:hAnsi="Arial" w:cs="Arial"/>
          <w:sz w:val="24"/>
          <w:szCs w:val="24"/>
        </w:rPr>
        <w:t xml:space="preserve"> pero sin voto, el gerente de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compañía. Si faltare uno de ellos o ambos, desempeñarán esas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funciones en la reunión respectiva la persona o personas que para el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efecto el directorio nombre en forma ad-hoc.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0821B987" w14:textId="4E07D4FD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17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AF5">
        <w:rPr>
          <w:rFonts w:ascii="Arial" w:hAnsi="Arial" w:cs="Arial"/>
          <w:b/>
          <w:bCs/>
          <w:sz w:val="24"/>
          <w:szCs w:val="24"/>
        </w:rPr>
        <w:t>Quórums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de instalación y de decisión del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directorio. -</w:t>
      </w:r>
      <w:r w:rsidRPr="001E6AF5">
        <w:rPr>
          <w:rFonts w:ascii="Arial" w:hAnsi="Arial" w:cs="Arial"/>
          <w:sz w:val="24"/>
          <w:szCs w:val="24"/>
        </w:rPr>
        <w:t xml:space="preserve"> El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directorio se instalará con la concurrencia de por lo </w:t>
      </w:r>
      <w:r w:rsidR="00DD2CEA" w:rsidRPr="001E6AF5">
        <w:rPr>
          <w:rFonts w:ascii="Arial" w:hAnsi="Arial" w:cs="Arial"/>
          <w:sz w:val="24"/>
          <w:szCs w:val="24"/>
        </w:rPr>
        <w:t>menos</w:t>
      </w:r>
      <w:r w:rsidR="00DD2CEA" w:rsidRPr="001E6AF5">
        <w:rPr>
          <w:rFonts w:ascii="Arial" w:hAnsi="Arial" w:cs="Arial"/>
          <w:sz w:val="24"/>
          <w:szCs w:val="24"/>
        </w:rPr>
        <w:softHyphen/>
        <w:t>.</w:t>
      </w:r>
      <w:r w:rsidRPr="001E6AF5">
        <w:rPr>
          <w:rFonts w:ascii="Arial" w:hAnsi="Arial" w:cs="Arial"/>
          <w:sz w:val="24"/>
          <w:szCs w:val="24"/>
        </w:rPr>
        <w:t xml:space="preserve"> (aquí el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número de directores que hagan quórum de presencia) de sus miembros. Tomará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decisiones con la mayoría numérica de miembros concurrentes. En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caso de empate, el presidente tendrá voto decisorio o dirimente.</w:t>
      </w:r>
    </w:p>
    <w:p w14:paraId="6ADCECDF" w14:textId="10FA5BB6" w:rsidR="005D341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18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Facultades del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directorio. -</w:t>
      </w:r>
      <w:r w:rsidRPr="001E6AF5">
        <w:rPr>
          <w:rFonts w:ascii="Arial" w:hAnsi="Arial" w:cs="Arial"/>
          <w:sz w:val="24"/>
          <w:szCs w:val="24"/>
        </w:rPr>
        <w:t xml:space="preserve"> Corresponde al directorio:</w:t>
      </w:r>
    </w:p>
    <w:p w14:paraId="5DFF498E" w14:textId="52BB477F" w:rsidR="00BC0A26" w:rsidRPr="001E6AF5" w:rsidRDefault="00BC0A26" w:rsidP="001E6AF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Autorizar la apertura de sucursales, agencias o delegaciones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la compañía, dentro o fuera del territorio nacional;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49A97CA0" w14:textId="6EDB60EE" w:rsidR="00BC0A26" w:rsidRPr="001E6AF5" w:rsidRDefault="00BC0A26" w:rsidP="001E6AF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Ejercer las demás atribuciones y facultades que le confiera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junta general de accionistas.</w:t>
      </w:r>
    </w:p>
    <w:p w14:paraId="56CB8CEF" w14:textId="29786D05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19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presidente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de la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compañía. -</w:t>
      </w:r>
      <w:r w:rsidRPr="001E6AF5">
        <w:rPr>
          <w:rFonts w:ascii="Arial" w:hAnsi="Arial" w:cs="Arial"/>
          <w:sz w:val="24"/>
          <w:szCs w:val="24"/>
        </w:rPr>
        <w:t xml:space="preserve"> El presidente será nombrado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por la junta general para un </w:t>
      </w:r>
      <w:r w:rsidR="00DD2CEA" w:rsidRPr="001E6AF5">
        <w:rPr>
          <w:rFonts w:ascii="Arial" w:hAnsi="Arial" w:cs="Arial"/>
          <w:sz w:val="24"/>
          <w:szCs w:val="24"/>
        </w:rPr>
        <w:t>período</w:t>
      </w:r>
      <w:r w:rsidR="00DD2CEA" w:rsidRPr="001E6AF5">
        <w:rPr>
          <w:rFonts w:ascii="Arial" w:hAnsi="Arial" w:cs="Arial"/>
          <w:sz w:val="24"/>
          <w:szCs w:val="24"/>
        </w:rPr>
        <w:softHyphen/>
        <w:t>.</w:t>
      </w:r>
      <w:r w:rsidRPr="001E6AF5">
        <w:rPr>
          <w:rFonts w:ascii="Arial" w:hAnsi="Arial" w:cs="Arial"/>
          <w:sz w:val="24"/>
          <w:szCs w:val="24"/>
        </w:rPr>
        <w:t xml:space="preserve"> (puede oscilar entre uno y cinco años), 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cuyo término podrá ser reelegido. El presidente continuará en el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ejercicio de sus funciones hasta ser legalmente reemplazado.</w:t>
      </w:r>
    </w:p>
    <w:p w14:paraId="59EA9C8B" w14:textId="77777777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Corresponde al presidente:</w:t>
      </w:r>
    </w:p>
    <w:p w14:paraId="278A926D" w14:textId="19017087" w:rsidR="00BC0A26" w:rsidRPr="001E6AF5" w:rsidRDefault="00BC0A26" w:rsidP="001E6AF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Presidir las reuniones de junta general y de directorio a las que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asista y suscribir, con el secretario, las actas respectivas.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111BE49A" w14:textId="3AD793C2" w:rsidR="00BC0A26" w:rsidRPr="001E6AF5" w:rsidRDefault="00BC0A26" w:rsidP="001E6AF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Suscribir con el gerente los certificados provisionales o los títulos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 acción, y extenderlos a los accionistas.</w:t>
      </w:r>
      <w:r w:rsidRPr="001E6AF5">
        <w:rPr>
          <w:rFonts w:ascii="Arial" w:hAnsi="Arial" w:cs="Arial"/>
          <w:sz w:val="24"/>
          <w:szCs w:val="24"/>
        </w:rPr>
        <w:t xml:space="preserve"> </w:t>
      </w:r>
    </w:p>
    <w:p w14:paraId="469CECE6" w14:textId="49948EC0" w:rsidR="00BC0A26" w:rsidRPr="001E6AF5" w:rsidRDefault="00BC0A26" w:rsidP="001E6AF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lastRenderedPageBreak/>
        <w:t>Subrogar al gerente en el ejercicio de sus funciones, en caso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que faltare, se ausentare o estuviere impedido de actuar, temporal 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definitivamente.</w:t>
      </w:r>
    </w:p>
    <w:p w14:paraId="08E20891" w14:textId="7531948F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20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Gerente de la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compañía. -</w:t>
      </w:r>
      <w:r w:rsidRPr="001E6AF5">
        <w:rPr>
          <w:rFonts w:ascii="Arial" w:hAnsi="Arial" w:cs="Arial"/>
          <w:sz w:val="24"/>
          <w:szCs w:val="24"/>
        </w:rPr>
        <w:t xml:space="preserve"> El gerente será nombrado por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la junta general para un </w:t>
      </w:r>
      <w:r w:rsidR="00DD2CEA" w:rsidRPr="001E6AF5">
        <w:rPr>
          <w:rFonts w:ascii="Arial" w:hAnsi="Arial" w:cs="Arial"/>
          <w:sz w:val="24"/>
          <w:szCs w:val="24"/>
        </w:rPr>
        <w:t>período</w:t>
      </w:r>
      <w:r w:rsidR="00DD2CEA" w:rsidRPr="001E6AF5">
        <w:rPr>
          <w:rFonts w:ascii="Arial" w:hAnsi="Arial" w:cs="Arial"/>
          <w:sz w:val="24"/>
          <w:szCs w:val="24"/>
        </w:rPr>
        <w:softHyphen/>
        <w:t>.</w:t>
      </w:r>
      <w:r w:rsidRPr="001E6AF5">
        <w:rPr>
          <w:rFonts w:ascii="Arial" w:hAnsi="Arial" w:cs="Arial"/>
          <w:sz w:val="24"/>
          <w:szCs w:val="24"/>
        </w:rPr>
        <w:t xml:space="preserve"> (puede oscilar entre uno y cinco años), a cuyo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término podrá ser reelegido. El gerente continuará en el ejercicio de sus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funciones hasta ser legalmente reemplazado.</w:t>
      </w:r>
    </w:p>
    <w:p w14:paraId="5AAC2434" w14:textId="0E3F98E9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Corresponde al gerente:</w:t>
      </w:r>
    </w:p>
    <w:p w14:paraId="0489AC8E" w14:textId="048E12BA" w:rsidR="00BC0A26" w:rsidRPr="001E6AF5" w:rsidRDefault="00BC0A26" w:rsidP="001E6A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Convocar a las reuniones de junta general y de directorio.</w:t>
      </w:r>
    </w:p>
    <w:p w14:paraId="32244254" w14:textId="0AEFDE10" w:rsidR="00BC0A26" w:rsidRPr="001E6AF5" w:rsidRDefault="00BC0A26" w:rsidP="001E6A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Actuar de secretario de las reuniones de junta general y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directorio a las que asista y firmar, con el presidente, las actas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respectivas.</w:t>
      </w:r>
    </w:p>
    <w:p w14:paraId="197ACA22" w14:textId="39DE618A" w:rsidR="00BC0A26" w:rsidRPr="001E6AF5" w:rsidRDefault="00BC0A26" w:rsidP="001E6A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Suscribir con el presidente los certificados provisionales o los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títulos de acción, y extenderlos a los accionistas.</w:t>
      </w:r>
    </w:p>
    <w:p w14:paraId="42F88EA4" w14:textId="2DC91DC0" w:rsidR="00BC0A26" w:rsidRPr="001E6AF5" w:rsidRDefault="00BC0A26" w:rsidP="001E6A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Ejercer la representación legal, judicial y extrajudicial de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compañía, sin perjuicio de lo dispuesto en el artículo 12 de la Ley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Compañías.</w:t>
      </w:r>
    </w:p>
    <w:p w14:paraId="0F11A3D6" w14:textId="27BC0704" w:rsidR="00BC0A26" w:rsidRPr="001E6AF5" w:rsidRDefault="00BC0A26" w:rsidP="001E6A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Ejercer las atribuciones previstas para los administradores en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Ley de Compañías.</w:t>
      </w:r>
    </w:p>
    <w:p w14:paraId="32C7134C" w14:textId="77777777" w:rsidR="00BC0A26" w:rsidRPr="001E6AF5" w:rsidRDefault="00BC0A2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Título IV</w:t>
      </w:r>
    </w:p>
    <w:p w14:paraId="1A3C1A30" w14:textId="77777777" w:rsidR="00BC0A26" w:rsidRPr="001E6AF5" w:rsidRDefault="00BC0A2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De la fiscalización</w:t>
      </w:r>
    </w:p>
    <w:p w14:paraId="00C5DE12" w14:textId="4B39C0D5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21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CEA" w:rsidRPr="001E6AF5">
        <w:rPr>
          <w:rFonts w:ascii="Arial" w:hAnsi="Arial" w:cs="Arial"/>
          <w:b/>
          <w:bCs/>
          <w:sz w:val="24"/>
          <w:szCs w:val="24"/>
        </w:rPr>
        <w:t>Comisarios</w:t>
      </w:r>
      <w:r w:rsidR="00DD2CEA" w:rsidRPr="001E6AF5">
        <w:rPr>
          <w:rFonts w:ascii="Arial" w:hAnsi="Arial" w:cs="Arial"/>
          <w:sz w:val="24"/>
          <w:szCs w:val="24"/>
        </w:rPr>
        <w:t>. -</w:t>
      </w:r>
      <w:r w:rsidRPr="001E6AF5">
        <w:rPr>
          <w:rFonts w:ascii="Arial" w:hAnsi="Arial" w:cs="Arial"/>
          <w:sz w:val="24"/>
          <w:szCs w:val="24"/>
        </w:rPr>
        <w:t xml:space="preserve"> La junta general designará </w:t>
      </w:r>
      <w:r w:rsidRPr="001E6AF5">
        <w:rPr>
          <w:rFonts w:ascii="Arial" w:hAnsi="Arial" w:cs="Arial"/>
          <w:sz w:val="24"/>
          <w:szCs w:val="24"/>
        </w:rPr>
        <w:softHyphen/>
      </w:r>
      <w:r w:rsidRPr="001E6AF5">
        <w:rPr>
          <w:rFonts w:ascii="Arial" w:hAnsi="Arial" w:cs="Arial"/>
          <w:sz w:val="24"/>
          <w:szCs w:val="24"/>
        </w:rPr>
        <w:t>______________</w:t>
      </w:r>
      <w:r w:rsidRPr="001E6AF5">
        <w:rPr>
          <w:rFonts w:ascii="Arial" w:hAnsi="Arial" w:cs="Arial"/>
          <w:sz w:val="24"/>
          <w:szCs w:val="24"/>
        </w:rPr>
        <w:t xml:space="preserve"> (número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comisarios que nombre), cada</w:t>
      </w:r>
      <w:r w:rsidRPr="001E6AF5">
        <w:rPr>
          <w:rFonts w:ascii="Arial" w:hAnsi="Arial" w:cs="Arial"/>
          <w:sz w:val="24"/>
          <w:szCs w:val="24"/>
        </w:rPr>
        <w:softHyphen/>
      </w:r>
      <w:r w:rsidR="00DD2CEA" w:rsidRPr="001E6AF5">
        <w:rPr>
          <w:rFonts w:ascii="Arial" w:hAnsi="Arial" w:cs="Arial"/>
          <w:sz w:val="24"/>
          <w:szCs w:val="24"/>
        </w:rPr>
        <w:t xml:space="preserve"> ___________ </w:t>
      </w:r>
      <w:r w:rsidRPr="001E6AF5">
        <w:rPr>
          <w:rFonts w:ascii="Arial" w:hAnsi="Arial" w:cs="Arial"/>
          <w:sz w:val="24"/>
          <w:szCs w:val="24"/>
        </w:rPr>
        <w:t>(número de años que comprendan el período para el que se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nombre al o a los comisarios), quienes tendrán derecho ilimitado de inspección y</w:t>
      </w:r>
    </w:p>
    <w:p w14:paraId="0C3E594B" w14:textId="6ACC3439" w:rsidR="00BC0A26" w:rsidRPr="001E6AF5" w:rsidRDefault="00BC0A26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vigilancia sobre todas las operaciones sociales, sin dependencia de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administración y en interés de la compañía.</w:t>
      </w:r>
    </w:p>
    <w:p w14:paraId="4EF43DC7" w14:textId="77777777" w:rsidR="00BC0A26" w:rsidRPr="001E6AF5" w:rsidRDefault="00BC0A2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Título V</w:t>
      </w:r>
    </w:p>
    <w:p w14:paraId="38D9E841" w14:textId="707ED3E3" w:rsidR="00BC0A26" w:rsidRPr="001E6AF5" w:rsidRDefault="00BC0A26" w:rsidP="001E6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De la disolución y liquidación</w:t>
      </w:r>
    </w:p>
    <w:p w14:paraId="0ED8A331" w14:textId="2C0D2BFB" w:rsidR="00DD2CEA" w:rsidRPr="001E6AF5" w:rsidRDefault="00DD2CEA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Artículo 22</w:t>
      </w:r>
      <w:r w:rsidRPr="001E6AF5">
        <w:rPr>
          <w:rFonts w:ascii="Arial" w:hAnsi="Arial" w:cs="Arial"/>
          <w:b/>
          <w:bCs/>
          <w:sz w:val="24"/>
          <w:szCs w:val="24"/>
        </w:rPr>
        <w:t>°.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Norma </w:t>
      </w:r>
      <w:r w:rsidRPr="001E6AF5">
        <w:rPr>
          <w:rFonts w:ascii="Arial" w:hAnsi="Arial" w:cs="Arial"/>
          <w:b/>
          <w:bCs/>
          <w:sz w:val="24"/>
          <w:szCs w:val="24"/>
        </w:rPr>
        <w:t>general. -</w:t>
      </w:r>
      <w:r w:rsidRPr="001E6AF5">
        <w:rPr>
          <w:rFonts w:ascii="Arial" w:hAnsi="Arial" w:cs="Arial"/>
          <w:sz w:val="24"/>
          <w:szCs w:val="24"/>
        </w:rPr>
        <w:t xml:space="preserve"> La compañía se disolverá por una o más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 las causas previstas para el efecto en la Ley de Compañías, y se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liquidará con arreglo al procedimiento que corresponda, de acuerdo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 la misma ley. Siempre que las circunstancias permitan, la junta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general designará un liquidador principal y otro suplente.</w:t>
      </w:r>
    </w:p>
    <w:p w14:paraId="4C939869" w14:textId="77EDF81E" w:rsidR="00DD2CEA" w:rsidRPr="001E6AF5" w:rsidRDefault="00DD2CEA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CUARTA.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AF5">
        <w:rPr>
          <w:rFonts w:ascii="Arial" w:hAnsi="Arial" w:cs="Arial"/>
          <w:b/>
          <w:bCs/>
          <w:sz w:val="24"/>
          <w:szCs w:val="24"/>
        </w:rPr>
        <w:t>APORTES</w:t>
      </w:r>
      <w:r w:rsidRPr="001E6AF5">
        <w:rPr>
          <w:rFonts w:ascii="Arial" w:hAnsi="Arial" w:cs="Arial"/>
          <w:sz w:val="24"/>
          <w:szCs w:val="24"/>
        </w:rPr>
        <w:t>. -</w:t>
      </w:r>
      <w:r w:rsidRPr="001E6AF5">
        <w:rPr>
          <w:rFonts w:ascii="Arial" w:hAnsi="Arial" w:cs="Arial"/>
          <w:sz w:val="24"/>
          <w:szCs w:val="24"/>
        </w:rPr>
        <w:t xml:space="preserve"> Se elaborará el cuadro demostrativo de la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suscripción y pago del capital social tomando en consideración lo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dispuesto en los artículos 150, numeral 6°, en cualquier caso, 147, inciso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4°, y 161, si el aporte fuere en </w:t>
      </w:r>
      <w:r w:rsidRPr="001E6AF5">
        <w:rPr>
          <w:rFonts w:ascii="Arial" w:hAnsi="Arial" w:cs="Arial"/>
          <w:sz w:val="24"/>
          <w:szCs w:val="24"/>
        </w:rPr>
        <w:lastRenderedPageBreak/>
        <w:t>numerario y 162, si fuere en especies,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la Ley de Compañías. Si se estipulare plazo para el pago del saldo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deudor, éste no podrá exceder de dos años contados desde la fecha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 constitución de la compañía. En aplicación de las normas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contenidas en los artículos antes citados, se podría elaborar el cuadro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 suscripción y pago del capital social a base de los siguientes datos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416"/>
        <w:gridCol w:w="1185"/>
        <w:gridCol w:w="1225"/>
        <w:gridCol w:w="1842"/>
        <w:gridCol w:w="1128"/>
      </w:tblGrid>
      <w:tr w:rsidR="00DD2CEA" w:rsidRPr="001E6AF5" w14:paraId="2FFBFA39" w14:textId="77777777" w:rsidTr="00DD2CEA">
        <w:tc>
          <w:tcPr>
            <w:tcW w:w="1698" w:type="dxa"/>
          </w:tcPr>
          <w:p w14:paraId="0C715C14" w14:textId="3C91E50E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Nombres accionistas</w:t>
            </w:r>
          </w:p>
        </w:tc>
        <w:tc>
          <w:tcPr>
            <w:tcW w:w="1416" w:type="dxa"/>
          </w:tcPr>
          <w:p w14:paraId="73E61CCA" w14:textId="3F12B53A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Capital suscrito</w:t>
            </w:r>
          </w:p>
        </w:tc>
        <w:tc>
          <w:tcPr>
            <w:tcW w:w="2410" w:type="dxa"/>
            <w:gridSpan w:val="2"/>
          </w:tcPr>
          <w:p w14:paraId="5DEB740E" w14:textId="76FDA10F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Capital pagado (debe cubrir al menos el 25% de cada acción)</w:t>
            </w:r>
          </w:p>
        </w:tc>
        <w:tc>
          <w:tcPr>
            <w:tcW w:w="1842" w:type="dxa"/>
          </w:tcPr>
          <w:p w14:paraId="2CD034E6" w14:textId="6FA2A97C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Capital por pagar (el saldo deberá pagarse en 2 años máximo)</w:t>
            </w:r>
          </w:p>
        </w:tc>
        <w:tc>
          <w:tcPr>
            <w:tcW w:w="1128" w:type="dxa"/>
          </w:tcPr>
          <w:p w14:paraId="4A8A200A" w14:textId="7CFF010E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Acciones</w:t>
            </w:r>
          </w:p>
        </w:tc>
      </w:tr>
      <w:tr w:rsidR="00DD2CEA" w:rsidRPr="001E6AF5" w14:paraId="701986CF" w14:textId="77777777" w:rsidTr="00DD2CEA">
        <w:tc>
          <w:tcPr>
            <w:tcW w:w="1698" w:type="dxa"/>
          </w:tcPr>
          <w:p w14:paraId="70BB2755" w14:textId="77777777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E0E4C9" w14:textId="77777777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158C7F0" w14:textId="77777777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Numerado</w:t>
            </w:r>
          </w:p>
          <w:p w14:paraId="0CB5C512" w14:textId="110B7EA9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(dinero)</w:t>
            </w:r>
          </w:p>
        </w:tc>
        <w:tc>
          <w:tcPr>
            <w:tcW w:w="1225" w:type="dxa"/>
          </w:tcPr>
          <w:p w14:paraId="5DF7FCE3" w14:textId="35F3036D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Especies (muebles o inmuebles)</w:t>
            </w:r>
          </w:p>
        </w:tc>
        <w:tc>
          <w:tcPr>
            <w:tcW w:w="1842" w:type="dxa"/>
          </w:tcPr>
          <w:p w14:paraId="3455F30B" w14:textId="4DF22811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059CCFA" w14:textId="77777777" w:rsidR="00DD2CEA" w:rsidRPr="001E6AF5" w:rsidRDefault="00DD2CEA" w:rsidP="001E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EA" w:rsidRPr="001E6AF5" w14:paraId="384FC206" w14:textId="77777777" w:rsidTr="00DD2CEA">
        <w:tc>
          <w:tcPr>
            <w:tcW w:w="1698" w:type="dxa"/>
          </w:tcPr>
          <w:p w14:paraId="1E5593EF" w14:textId="483530B5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6" w:type="dxa"/>
          </w:tcPr>
          <w:p w14:paraId="5418FE7B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DE79989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DE463D7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FA0958" w14:textId="5960B3F3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453003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EA" w:rsidRPr="001E6AF5" w14:paraId="7649C5DC" w14:textId="77777777" w:rsidTr="00DD2CEA">
        <w:tc>
          <w:tcPr>
            <w:tcW w:w="1698" w:type="dxa"/>
          </w:tcPr>
          <w:p w14:paraId="66D33F56" w14:textId="30B75C8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2,</w:t>
            </w:r>
          </w:p>
        </w:tc>
        <w:tc>
          <w:tcPr>
            <w:tcW w:w="1416" w:type="dxa"/>
          </w:tcPr>
          <w:p w14:paraId="5131BA4E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BC52A09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D0F2B3D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EA8418" w14:textId="2F5F10AB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0DA6B0E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EA" w:rsidRPr="001E6AF5" w14:paraId="3E4E16E4" w14:textId="77777777" w:rsidTr="00DD2CEA">
        <w:tc>
          <w:tcPr>
            <w:tcW w:w="1698" w:type="dxa"/>
          </w:tcPr>
          <w:p w14:paraId="07387798" w14:textId="7A947FF0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6" w:type="dxa"/>
          </w:tcPr>
          <w:p w14:paraId="1C50C0A3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FAEC74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D3CF1DB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E03AC" w14:textId="01791590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EF95AE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EA" w:rsidRPr="001E6AF5" w14:paraId="47DB36B0" w14:textId="77777777" w:rsidTr="00DD2CEA">
        <w:tc>
          <w:tcPr>
            <w:tcW w:w="1698" w:type="dxa"/>
          </w:tcPr>
          <w:p w14:paraId="54D10B35" w14:textId="27F442C8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  <w:r w:rsidRPr="001E6AF5">
              <w:rPr>
                <w:rFonts w:ascii="Arial" w:hAnsi="Arial" w:cs="Arial"/>
                <w:sz w:val="20"/>
                <w:szCs w:val="20"/>
              </w:rPr>
              <w:t>TOTALES</w:t>
            </w:r>
          </w:p>
        </w:tc>
        <w:tc>
          <w:tcPr>
            <w:tcW w:w="1416" w:type="dxa"/>
          </w:tcPr>
          <w:p w14:paraId="72A7DD0C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D80BAC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4E829FF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449821" w14:textId="687468DF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8D113E" w14:textId="77777777" w:rsidR="00DD2CEA" w:rsidRPr="001E6AF5" w:rsidRDefault="00DD2CEA" w:rsidP="001E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8A6E7" w14:textId="77777777" w:rsidR="00BC0A26" w:rsidRPr="001E6AF5" w:rsidRDefault="00BC0A26" w:rsidP="001E6AF5">
      <w:pPr>
        <w:rPr>
          <w:rFonts w:ascii="Arial" w:hAnsi="Arial" w:cs="Arial"/>
          <w:sz w:val="24"/>
          <w:szCs w:val="24"/>
        </w:rPr>
      </w:pPr>
    </w:p>
    <w:p w14:paraId="72C782CF" w14:textId="2DF4B29D" w:rsidR="00DD2CEA" w:rsidRPr="001E6AF5" w:rsidRDefault="00DD2CEA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b/>
          <w:bCs/>
          <w:sz w:val="24"/>
          <w:szCs w:val="24"/>
        </w:rPr>
        <w:t>QUINTA. -</w:t>
      </w:r>
      <w:r w:rsidRPr="001E6AF5">
        <w:rPr>
          <w:rFonts w:ascii="Arial" w:hAnsi="Arial" w:cs="Arial"/>
          <w:b/>
          <w:bCs/>
          <w:sz w:val="24"/>
          <w:szCs w:val="24"/>
        </w:rPr>
        <w:t xml:space="preserve"> NOMBRAMIENTO DE </w:t>
      </w:r>
      <w:r w:rsidRPr="001E6AF5">
        <w:rPr>
          <w:rFonts w:ascii="Arial" w:hAnsi="Arial" w:cs="Arial"/>
          <w:b/>
          <w:bCs/>
          <w:sz w:val="24"/>
          <w:szCs w:val="24"/>
        </w:rPr>
        <w:t>ADMINISTRADORES. -</w:t>
      </w:r>
      <w:r w:rsidRPr="001E6AF5">
        <w:rPr>
          <w:rFonts w:ascii="Arial" w:hAnsi="Arial" w:cs="Arial"/>
          <w:sz w:val="24"/>
          <w:szCs w:val="24"/>
        </w:rPr>
        <w:t xml:space="preserve"> Para los períodos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señalados en los artículos 14° y 15° del estatuto, se designa como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 xml:space="preserve">presidente (a) de la compañía al (o a la) señor (o </w:t>
      </w:r>
      <w:r w:rsidRPr="001E6AF5">
        <w:rPr>
          <w:rFonts w:ascii="Arial" w:hAnsi="Arial" w:cs="Arial"/>
          <w:sz w:val="24"/>
          <w:szCs w:val="24"/>
        </w:rPr>
        <w:t xml:space="preserve">señora) </w:t>
      </w:r>
      <w:r w:rsidRPr="001E6AF5">
        <w:rPr>
          <w:rFonts w:ascii="Arial" w:hAnsi="Arial" w:cs="Arial"/>
          <w:sz w:val="24"/>
          <w:szCs w:val="24"/>
        </w:rPr>
        <w:softHyphen/>
        <w:t>.</w:t>
      </w:r>
      <w:r w:rsidRPr="001E6AF5">
        <w:rPr>
          <w:rFonts w:ascii="Arial" w:hAnsi="Arial" w:cs="Arial"/>
          <w:sz w:val="24"/>
          <w:szCs w:val="24"/>
        </w:rPr>
        <w:t>, y como gerente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de la misma al (o a la) señor (o señora), respectivamente.</w:t>
      </w:r>
    </w:p>
    <w:p w14:paraId="2D3C367E" w14:textId="6D82DA19" w:rsidR="005D3416" w:rsidRPr="001E6AF5" w:rsidRDefault="00DD2CEA" w:rsidP="001E6AF5">
      <w:pPr>
        <w:jc w:val="both"/>
        <w:rPr>
          <w:rFonts w:ascii="Arial" w:hAnsi="Arial" w:cs="Arial"/>
          <w:sz w:val="24"/>
          <w:szCs w:val="24"/>
        </w:rPr>
      </w:pPr>
      <w:r w:rsidRPr="001E6AF5">
        <w:rPr>
          <w:rFonts w:ascii="Arial" w:hAnsi="Arial" w:cs="Arial"/>
          <w:sz w:val="24"/>
          <w:szCs w:val="24"/>
        </w:rPr>
        <w:t>Usted, señor notario, se dignará añadir las correspondientes cláusulas de</w:t>
      </w:r>
      <w:r w:rsidRPr="001E6AF5">
        <w:rPr>
          <w:rFonts w:ascii="Arial" w:hAnsi="Arial" w:cs="Arial"/>
          <w:sz w:val="24"/>
          <w:szCs w:val="24"/>
        </w:rPr>
        <w:t xml:space="preserve"> </w:t>
      </w:r>
      <w:r w:rsidRPr="001E6AF5">
        <w:rPr>
          <w:rFonts w:ascii="Arial" w:hAnsi="Arial" w:cs="Arial"/>
          <w:sz w:val="24"/>
          <w:szCs w:val="24"/>
        </w:rPr>
        <w:t>estilo.</w:t>
      </w:r>
    </w:p>
    <w:sectPr w:rsidR="005D3416" w:rsidRPr="001E6A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D182" w14:textId="77777777" w:rsidR="00900E85" w:rsidRDefault="00900E85" w:rsidP="00A8783E">
      <w:pPr>
        <w:spacing w:after="0" w:line="240" w:lineRule="auto"/>
      </w:pPr>
      <w:r>
        <w:separator/>
      </w:r>
    </w:p>
  </w:endnote>
  <w:endnote w:type="continuationSeparator" w:id="0">
    <w:p w14:paraId="628FE19E" w14:textId="77777777" w:rsidR="00900E85" w:rsidRDefault="00900E85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A3BD" w14:textId="77777777" w:rsidR="00900E85" w:rsidRDefault="00900E85" w:rsidP="00A8783E">
      <w:pPr>
        <w:spacing w:after="0" w:line="240" w:lineRule="auto"/>
      </w:pPr>
      <w:r>
        <w:separator/>
      </w:r>
    </w:p>
  </w:footnote>
  <w:footnote w:type="continuationSeparator" w:id="0">
    <w:p w14:paraId="57B3F2FA" w14:textId="77777777" w:rsidR="00900E85" w:rsidRDefault="00900E85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30A" w14:textId="0F7E1517" w:rsidR="00A8783E" w:rsidRDefault="00A8783E" w:rsidP="00A8783E">
    <w:pPr>
      <w:pStyle w:val="Encabezado"/>
      <w:jc w:val="right"/>
    </w:pPr>
    <w:r>
      <w:rPr>
        <w:noProof/>
      </w:rPr>
      <w:drawing>
        <wp:inline distT="0" distB="0" distL="0" distR="0" wp14:anchorId="513AD8B2" wp14:editId="71F6433B">
          <wp:extent cx="2300243" cy="6477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471" cy="64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BC122" w14:textId="77777777" w:rsidR="00A8783E" w:rsidRDefault="00A8783E" w:rsidP="00A8783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936"/>
    <w:multiLevelType w:val="hybridMultilevel"/>
    <w:tmpl w:val="54C6A05C"/>
    <w:lvl w:ilvl="0" w:tplc="D494E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20B"/>
    <w:multiLevelType w:val="hybridMultilevel"/>
    <w:tmpl w:val="30E63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F6A"/>
    <w:multiLevelType w:val="hybridMultilevel"/>
    <w:tmpl w:val="6AC2FE52"/>
    <w:lvl w:ilvl="0" w:tplc="D494E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ACF"/>
    <w:multiLevelType w:val="hybridMultilevel"/>
    <w:tmpl w:val="42BC9116"/>
    <w:lvl w:ilvl="0" w:tplc="D494E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05F"/>
    <w:multiLevelType w:val="hybridMultilevel"/>
    <w:tmpl w:val="0AF4A4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05E5"/>
    <w:multiLevelType w:val="hybridMultilevel"/>
    <w:tmpl w:val="AC54B0D2"/>
    <w:lvl w:ilvl="0" w:tplc="D494E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72AC7"/>
    <w:multiLevelType w:val="hybridMultilevel"/>
    <w:tmpl w:val="B16E619A"/>
    <w:lvl w:ilvl="0" w:tplc="D494E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CA3"/>
    <w:multiLevelType w:val="hybridMultilevel"/>
    <w:tmpl w:val="956A8A92"/>
    <w:lvl w:ilvl="0" w:tplc="D494E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57720"/>
    <w:multiLevelType w:val="hybridMultilevel"/>
    <w:tmpl w:val="CFDA946E"/>
    <w:lvl w:ilvl="0" w:tplc="D494E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2870">
    <w:abstractNumId w:val="1"/>
  </w:num>
  <w:num w:numId="2" w16cid:durableId="2100102051">
    <w:abstractNumId w:val="4"/>
  </w:num>
  <w:num w:numId="3" w16cid:durableId="1020930162">
    <w:abstractNumId w:val="7"/>
  </w:num>
  <w:num w:numId="4" w16cid:durableId="2010257215">
    <w:abstractNumId w:val="8"/>
  </w:num>
  <w:num w:numId="5" w16cid:durableId="413623267">
    <w:abstractNumId w:val="5"/>
  </w:num>
  <w:num w:numId="6" w16cid:durableId="1723285404">
    <w:abstractNumId w:val="0"/>
  </w:num>
  <w:num w:numId="7" w16cid:durableId="769817299">
    <w:abstractNumId w:val="2"/>
  </w:num>
  <w:num w:numId="8" w16cid:durableId="1114246764">
    <w:abstractNumId w:val="6"/>
  </w:num>
  <w:num w:numId="9" w16cid:durableId="81973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3E"/>
    <w:rsid w:val="001E6AF5"/>
    <w:rsid w:val="002A3BA6"/>
    <w:rsid w:val="005D3416"/>
    <w:rsid w:val="005E6DF2"/>
    <w:rsid w:val="00900E85"/>
    <w:rsid w:val="00A8783E"/>
    <w:rsid w:val="00B579A3"/>
    <w:rsid w:val="00BC0A26"/>
    <w:rsid w:val="00CF2407"/>
    <w:rsid w:val="00DD2CEA"/>
    <w:rsid w:val="00E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E601"/>
  <w15:chartTrackingRefBased/>
  <w15:docId w15:val="{AF7EBE16-84D1-4E9A-B23F-D4CD4BDA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83E"/>
  </w:style>
  <w:style w:type="paragraph" w:styleId="Piedepgina">
    <w:name w:val="footer"/>
    <w:basedOn w:val="Normal"/>
    <w:link w:val="PiedepginaCar"/>
    <w:uiPriority w:val="99"/>
    <w:unhideWhenUsed/>
    <w:rsid w:val="00A87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83E"/>
  </w:style>
  <w:style w:type="paragraph" w:styleId="Prrafodelista">
    <w:name w:val="List Paragraph"/>
    <w:basedOn w:val="Normal"/>
    <w:uiPriority w:val="34"/>
    <w:qFormat/>
    <w:rsid w:val="00A878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1889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VICTORIA CHUQUIMARCA GUERRERO</dc:creator>
  <cp:keywords/>
  <dc:description/>
  <cp:lastModifiedBy>ANGIE VICTORIA CHUQUIMARCA GUERRERO</cp:lastModifiedBy>
  <cp:revision>1</cp:revision>
  <dcterms:created xsi:type="dcterms:W3CDTF">2022-08-05T20:59:00Z</dcterms:created>
  <dcterms:modified xsi:type="dcterms:W3CDTF">2022-08-05T21:54:00Z</dcterms:modified>
</cp:coreProperties>
</file>